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71" w:rsidRPr="00A93399" w:rsidRDefault="00BD5371" w:rsidP="00BD5371">
      <w:pPr>
        <w:suppressAutoHyphens w:val="0"/>
        <w:autoSpaceDE w:val="0"/>
        <w:autoSpaceDN w:val="0"/>
        <w:adjustRightInd w:val="0"/>
        <w:rPr>
          <w:rFonts w:eastAsia="Calibri"/>
          <w:b/>
          <w:bCs/>
          <w:color w:val="auto"/>
          <w:kern w:val="0"/>
          <w:sz w:val="28"/>
          <w:szCs w:val="28"/>
          <w:lang w:eastAsia="ru-RU"/>
        </w:rPr>
      </w:pPr>
      <w:r>
        <w:rPr>
          <w:rFonts w:ascii="Calibri" w:eastAsia="Calibri" w:hAnsi="Calibri"/>
          <w:noProof/>
          <w:color w:val="auto"/>
          <w:kern w:val="0"/>
          <w:sz w:val="28"/>
          <w:szCs w:val="20"/>
          <w:lang w:eastAsia="ru-RU"/>
        </w:rPr>
        <w:drawing>
          <wp:inline distT="0" distB="0" distL="0" distR="0">
            <wp:extent cx="2130425" cy="79375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0425" cy="793750"/>
                    </a:xfrm>
                    <a:prstGeom prst="rect">
                      <a:avLst/>
                    </a:prstGeom>
                    <a:noFill/>
                    <a:ln>
                      <a:noFill/>
                    </a:ln>
                  </pic:spPr>
                </pic:pic>
              </a:graphicData>
            </a:graphic>
          </wp:inline>
        </w:drawing>
      </w:r>
      <w:r w:rsidRPr="00A93399">
        <w:rPr>
          <w:rFonts w:eastAsia="Calibri"/>
          <w:b/>
          <w:bCs/>
          <w:color w:val="auto"/>
          <w:kern w:val="0"/>
          <w:sz w:val="28"/>
          <w:szCs w:val="28"/>
          <w:lang w:eastAsia="ru-RU"/>
        </w:rPr>
        <w:t xml:space="preserve">                                                                      </w:t>
      </w:r>
    </w:p>
    <w:p w:rsidR="00BD5371" w:rsidRPr="00A93399" w:rsidRDefault="00BD5371" w:rsidP="00BD5371">
      <w:pPr>
        <w:suppressAutoHyphens w:val="0"/>
        <w:autoSpaceDE w:val="0"/>
        <w:autoSpaceDN w:val="0"/>
        <w:adjustRightInd w:val="0"/>
        <w:rPr>
          <w:rFonts w:eastAsia="Calibri"/>
          <w:b/>
          <w:bCs/>
          <w:color w:val="auto"/>
          <w:kern w:val="0"/>
          <w:sz w:val="28"/>
          <w:szCs w:val="28"/>
          <w:lang w:eastAsia="ru-RU"/>
        </w:rPr>
      </w:pPr>
    </w:p>
    <w:p w:rsidR="00BD5371" w:rsidRPr="00A93399" w:rsidRDefault="00BD5371" w:rsidP="00BD5371">
      <w:pPr>
        <w:suppressAutoHyphens w:val="0"/>
        <w:autoSpaceDE w:val="0"/>
        <w:autoSpaceDN w:val="0"/>
        <w:adjustRightInd w:val="0"/>
        <w:jc w:val="right"/>
        <w:rPr>
          <w:rFonts w:eastAsia="Calibri"/>
          <w:b/>
          <w:bCs/>
          <w:color w:val="auto"/>
          <w:kern w:val="0"/>
          <w:sz w:val="32"/>
          <w:szCs w:val="28"/>
          <w:lang w:eastAsia="ru-RU"/>
        </w:rPr>
      </w:pPr>
      <w:r w:rsidRPr="00A93399">
        <w:rPr>
          <w:rFonts w:eastAsia="Calibri"/>
          <w:b/>
          <w:bCs/>
          <w:color w:val="auto"/>
          <w:kern w:val="0"/>
          <w:sz w:val="32"/>
          <w:szCs w:val="28"/>
          <w:lang w:eastAsia="ru-RU"/>
        </w:rPr>
        <w:t>ПРЕСС-РЕЛИЗ</w:t>
      </w:r>
    </w:p>
    <w:p w:rsidR="004A1131" w:rsidRDefault="004A1131" w:rsidP="00BD5371">
      <w:pPr>
        <w:suppressAutoHyphens w:val="0"/>
        <w:autoSpaceDE w:val="0"/>
        <w:autoSpaceDN w:val="0"/>
        <w:adjustRightInd w:val="0"/>
        <w:jc w:val="right"/>
        <w:rPr>
          <w:rFonts w:eastAsia="Calibri"/>
          <w:bCs/>
          <w:color w:val="auto"/>
          <w:kern w:val="0"/>
          <w:sz w:val="28"/>
          <w:szCs w:val="28"/>
          <w:lang w:eastAsia="ru-RU"/>
        </w:rPr>
      </w:pPr>
    </w:p>
    <w:p w:rsidR="00BD5371" w:rsidRPr="00A93399" w:rsidRDefault="004A1131" w:rsidP="00BD5371">
      <w:pPr>
        <w:suppressAutoHyphens w:val="0"/>
        <w:autoSpaceDE w:val="0"/>
        <w:autoSpaceDN w:val="0"/>
        <w:adjustRightInd w:val="0"/>
        <w:jc w:val="right"/>
        <w:rPr>
          <w:rFonts w:eastAsia="Calibri"/>
          <w:bCs/>
          <w:color w:val="auto"/>
          <w:kern w:val="0"/>
          <w:sz w:val="28"/>
          <w:szCs w:val="28"/>
          <w:lang w:eastAsia="ru-RU"/>
        </w:rPr>
      </w:pPr>
      <w:r>
        <w:rPr>
          <w:rFonts w:eastAsia="Calibri"/>
          <w:bCs/>
          <w:color w:val="auto"/>
          <w:kern w:val="0"/>
          <w:sz w:val="28"/>
          <w:szCs w:val="28"/>
          <w:lang w:eastAsia="ru-RU"/>
        </w:rPr>
        <w:t>25</w:t>
      </w:r>
      <w:r w:rsidR="00BD5371" w:rsidRPr="00A93399">
        <w:rPr>
          <w:rFonts w:eastAsia="Calibri"/>
          <w:bCs/>
          <w:color w:val="auto"/>
          <w:kern w:val="0"/>
          <w:sz w:val="28"/>
          <w:szCs w:val="28"/>
          <w:lang w:eastAsia="ru-RU"/>
        </w:rPr>
        <w:t>.06.2024</w:t>
      </w:r>
    </w:p>
    <w:p w:rsidR="00BD5371" w:rsidRPr="00A93399" w:rsidRDefault="00BD5371" w:rsidP="00BD5371">
      <w:pPr>
        <w:suppressAutoHyphens w:val="0"/>
        <w:jc w:val="center"/>
        <w:rPr>
          <w:color w:val="auto"/>
          <w:kern w:val="0"/>
          <w:lang w:eastAsia="ru-RU"/>
        </w:rPr>
      </w:pPr>
    </w:p>
    <w:p w:rsidR="00BD5371" w:rsidRDefault="00BD5371" w:rsidP="00BD5371">
      <w:pPr>
        <w:suppressAutoHyphens w:val="0"/>
        <w:jc w:val="both"/>
        <w:rPr>
          <w:rFonts w:eastAsia="Calibri"/>
          <w:b/>
          <w:color w:val="auto"/>
          <w:kern w:val="0"/>
          <w:sz w:val="28"/>
          <w:szCs w:val="20"/>
          <w:lang w:eastAsia="ru-RU"/>
        </w:rPr>
      </w:pPr>
    </w:p>
    <w:p w:rsidR="004A1131" w:rsidRDefault="004A1131" w:rsidP="00BD5371">
      <w:pPr>
        <w:suppressAutoHyphens w:val="0"/>
        <w:jc w:val="both"/>
        <w:rPr>
          <w:rFonts w:eastAsia="Calibri"/>
          <w:b/>
          <w:color w:val="auto"/>
          <w:kern w:val="0"/>
          <w:sz w:val="28"/>
          <w:szCs w:val="20"/>
          <w:lang w:eastAsia="ru-RU"/>
        </w:rPr>
      </w:pPr>
    </w:p>
    <w:p w:rsidR="00BD5371" w:rsidRDefault="00BD5371" w:rsidP="00BD5371">
      <w:pPr>
        <w:suppressAutoHyphens w:val="0"/>
        <w:jc w:val="both"/>
        <w:rPr>
          <w:rFonts w:eastAsia="Calibri"/>
          <w:b/>
          <w:color w:val="auto"/>
          <w:kern w:val="0"/>
          <w:sz w:val="28"/>
          <w:szCs w:val="20"/>
          <w:lang w:eastAsia="ru-RU"/>
        </w:rPr>
      </w:pPr>
      <w:r>
        <w:rPr>
          <w:rFonts w:eastAsia="Calibri"/>
          <w:b/>
          <w:color w:val="auto"/>
          <w:kern w:val="0"/>
          <w:sz w:val="28"/>
          <w:szCs w:val="20"/>
          <w:lang w:eastAsia="ru-RU"/>
        </w:rPr>
        <w:t>К</w:t>
      </w:r>
      <w:r w:rsidRPr="00BD5371">
        <w:rPr>
          <w:rFonts w:eastAsia="Calibri"/>
          <w:b/>
          <w:color w:val="auto"/>
          <w:kern w:val="0"/>
          <w:sz w:val="28"/>
          <w:szCs w:val="20"/>
          <w:lang w:eastAsia="ru-RU"/>
        </w:rPr>
        <w:t>ритерии объектов недвижимости вспомогательного использования</w:t>
      </w:r>
    </w:p>
    <w:p w:rsidR="00BD5371" w:rsidRDefault="00BD5371" w:rsidP="00BD5371">
      <w:pPr>
        <w:suppressAutoHyphens w:val="0"/>
        <w:rPr>
          <w:rFonts w:eastAsia="Calibri"/>
          <w:b/>
          <w:color w:val="auto"/>
          <w:kern w:val="0"/>
          <w:sz w:val="28"/>
          <w:szCs w:val="20"/>
          <w:lang w:eastAsia="ru-RU"/>
        </w:rPr>
      </w:pPr>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 xml:space="preserve">Управление Росреестра по Алтайскому краю обращает внимание, что с 01.09.2023 постановлением Правительства Российской Федерации от 4 мая 2023 г. Nº 703 «Об утверждении критериев отнесения строений и сооружений к строениям и сооружениям вспомогательного использования» установлены критерии отнесения объектов к объектам вспомогательного использования - для них не требуется выдача разрешения на строительство. </w:t>
      </w:r>
    </w:p>
    <w:p w:rsidR="00BD5371" w:rsidRDefault="00BD5371" w:rsidP="00BD5371">
      <w:pPr>
        <w:suppressAutoHyphens w:val="0"/>
        <w:spacing w:line="276" w:lineRule="auto"/>
        <w:rPr>
          <w:color w:val="auto"/>
          <w:kern w:val="0"/>
          <w:sz w:val="28"/>
          <w:lang w:eastAsia="ru-RU"/>
        </w:rPr>
      </w:pPr>
      <w:bookmarkStart w:id="0" w:name="_GoBack"/>
      <w:bookmarkEnd w:id="0"/>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 xml:space="preserve">Определено 3 критерия отнесения строений и сооружений к </w:t>
      </w:r>
      <w:proofErr w:type="gramStart"/>
      <w:r w:rsidRPr="00BD5371">
        <w:rPr>
          <w:color w:val="auto"/>
          <w:kern w:val="0"/>
          <w:sz w:val="28"/>
          <w:lang w:eastAsia="ru-RU"/>
        </w:rPr>
        <w:t>вспомогательным</w:t>
      </w:r>
      <w:proofErr w:type="gramEnd"/>
      <w:r w:rsidRPr="00BD5371">
        <w:rPr>
          <w:color w:val="auto"/>
          <w:kern w:val="0"/>
          <w:sz w:val="28"/>
          <w:lang w:eastAsia="ru-RU"/>
        </w:rPr>
        <w:t xml:space="preserve">, при этом вспомогательный объект должен соответствовать одному из трех критериев. Данные критерии связаны с площадью, месторасположением, высотными и иными характеристиками вспомогательных объектов в зависимости от различных случаев строительства.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 xml:space="preserve">Критерий 1: строение или сооружение строится на одном земельном участке с основным зданием, строением или сооружением, строительство строения или сооружения предусмотрено проектной документацией, подготовленной применительно к основному объекту, и предназначено для обслуживания основного объекта.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proofErr w:type="gramStart"/>
      <w:r w:rsidRPr="00BD5371">
        <w:rPr>
          <w:color w:val="auto"/>
          <w:kern w:val="0"/>
          <w:sz w:val="28"/>
          <w:lang w:eastAsia="ru-RU"/>
        </w:rPr>
        <w:t>Критерий 2: 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санитарно-защитных зон и размещается на земельном участке, на котором расположен основной объект, либо на земельных участках, смежных с земельным</w:t>
      </w:r>
      <w:proofErr w:type="gramEnd"/>
      <w:r w:rsidRPr="00BD5371">
        <w:rPr>
          <w:color w:val="auto"/>
          <w:kern w:val="0"/>
          <w:sz w:val="28"/>
          <w:lang w:eastAsia="ru-RU"/>
        </w:rPr>
        <w:t xml:space="preserve"> участком, на 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w:t>
      </w:r>
      <w:r w:rsidRPr="00BD5371">
        <w:rPr>
          <w:color w:val="auto"/>
          <w:kern w:val="0"/>
          <w:sz w:val="28"/>
          <w:lang w:eastAsia="ru-RU"/>
        </w:rPr>
        <w:lastRenderedPageBreak/>
        <w:t xml:space="preserve">сооружение вспомогательного использования технологически связано с основным объектом. Проектная документация подготавливается только в отношении объекта вспомогательного использования.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proofErr w:type="gramStart"/>
      <w:r w:rsidRPr="00BD5371">
        <w:rPr>
          <w:color w:val="auto"/>
          <w:kern w:val="0"/>
          <w:sz w:val="28"/>
          <w:lang w:eastAsia="ru-RU"/>
        </w:rPr>
        <w:t>Критерий 3: строение или сооружение располагается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является сараем, баней, теплицей, навесом, погребом, колодцем или другой хозяйственной постройкой, в том числе временной (примечание: для случаев, когда временная постройка</w:t>
      </w:r>
      <w:proofErr w:type="gramEnd"/>
      <w:r w:rsidRPr="00BD5371">
        <w:rPr>
          <w:color w:val="auto"/>
          <w:kern w:val="0"/>
          <w:sz w:val="28"/>
          <w:lang w:eastAsia="ru-RU"/>
        </w:rPr>
        <w:t xml:space="preserve"> является недвижимым имуществом), сооружением, предназначенными для удовлетворения гражданами бытовых и иных нужд, соответствующих виду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превышает 3 этажей и его высота не превышает 20 метров. Проектная документация не требуется.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Появление четких критериев, по которым можно определить строения и сооружения как вспомогательные, позволит уменьшить количество судебных споров и обращений граждан в различные органы власти, а также снизить издержки застройщиков на возведение таких объектов.</w:t>
      </w:r>
    </w:p>
    <w:p w:rsidR="00BD5371" w:rsidRDefault="00BD5371" w:rsidP="00BD5371">
      <w:pPr>
        <w:suppressAutoHyphens w:val="0"/>
        <w:spacing w:line="276" w:lineRule="auto"/>
        <w:rPr>
          <w:color w:val="auto"/>
          <w:kern w:val="0"/>
          <w:sz w:val="28"/>
          <w:lang w:eastAsia="ru-RU"/>
        </w:rPr>
      </w:pPr>
    </w:p>
    <w:p w:rsidR="004A1131" w:rsidRDefault="004A1131" w:rsidP="00BD5371">
      <w:pPr>
        <w:spacing w:after="200" w:line="276" w:lineRule="auto"/>
        <w:rPr>
          <w:rFonts w:eastAsia="Calibri"/>
          <w:b/>
          <w:noProof/>
          <w:sz w:val="22"/>
          <w:szCs w:val="22"/>
          <w:lang w:eastAsia="sk-SK"/>
        </w:rPr>
      </w:pPr>
      <w:r w:rsidRPr="004A1131">
        <w:rPr>
          <w:rFonts w:eastAsia="Calibri"/>
          <w:b/>
          <w:noProof/>
          <w:sz w:val="22"/>
          <w:szCs w:val="22"/>
          <w:lang w:eastAsia="sk-SK"/>
        </w:rPr>
        <w:drawing>
          <wp:inline distT="0" distB="0" distL="0" distR="0">
            <wp:extent cx="3324225" cy="33242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итерии1.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26236" cy="3326236"/>
                    </a:xfrm>
                    <a:prstGeom prst="rect">
                      <a:avLst/>
                    </a:prstGeom>
                  </pic:spPr>
                </pic:pic>
              </a:graphicData>
            </a:graphic>
          </wp:inline>
        </w:drawing>
      </w:r>
    </w:p>
    <w:p w:rsidR="00BD5371" w:rsidRPr="004A1131" w:rsidRDefault="004A1131" w:rsidP="004A1131">
      <w:pPr>
        <w:spacing w:after="200" w:line="276" w:lineRule="auto"/>
        <w:rPr>
          <w:rFonts w:eastAsia="Calibri"/>
          <w:b/>
          <w:noProof/>
          <w:sz w:val="22"/>
          <w:szCs w:val="22"/>
          <w:lang w:eastAsia="sk-SK"/>
        </w:rPr>
      </w:pPr>
      <w:r>
        <w:rPr>
          <w:rFonts w:eastAsia="Calibri"/>
          <w:b/>
          <w:noProof/>
          <w:sz w:val="22"/>
          <w:szCs w:val="22"/>
          <w:lang w:eastAsia="sk-SK"/>
        </w:rPr>
        <w:t>Управление</w:t>
      </w:r>
      <w:r w:rsidR="00BD5371" w:rsidRPr="00E93190">
        <w:rPr>
          <w:rFonts w:eastAsia="Calibri"/>
          <w:b/>
          <w:noProof/>
          <w:sz w:val="22"/>
          <w:szCs w:val="22"/>
          <w:lang w:eastAsia="sk-SK"/>
        </w:rPr>
        <w:t xml:space="preserve"> Росреестра по Алтайскому краю</w:t>
      </w:r>
    </w:p>
    <w:sectPr w:rsidR="00BD5371" w:rsidRPr="004A1131" w:rsidSect="00BD5371">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9A0"/>
    <w:rsid w:val="000E4D43"/>
    <w:rsid w:val="00166638"/>
    <w:rsid w:val="0026652C"/>
    <w:rsid w:val="002A6304"/>
    <w:rsid w:val="00377B4A"/>
    <w:rsid w:val="004119A0"/>
    <w:rsid w:val="004A1131"/>
    <w:rsid w:val="00BD5371"/>
    <w:rsid w:val="00BE3CF9"/>
    <w:rsid w:val="00C75490"/>
    <w:rsid w:val="00E00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1"/>
    <w:pPr>
      <w:suppressAutoHyphens/>
      <w:spacing w:after="0" w:line="240" w:lineRule="auto"/>
    </w:pPr>
    <w:rPr>
      <w:rFonts w:ascii="Times New Roman" w:eastAsia="Times New Roman" w:hAnsi="Times New Roman" w:cs="Times New Roman"/>
      <w:color w:val="00000A"/>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371"/>
    <w:rPr>
      <w:rFonts w:ascii="Tahoma" w:hAnsi="Tahoma" w:cs="Tahoma"/>
      <w:sz w:val="16"/>
      <w:szCs w:val="16"/>
    </w:rPr>
  </w:style>
  <w:style w:type="character" w:customStyle="1" w:styleId="a4">
    <w:name w:val="Текст выноски Знак"/>
    <w:basedOn w:val="a0"/>
    <w:link w:val="a3"/>
    <w:uiPriority w:val="99"/>
    <w:semiHidden/>
    <w:rsid w:val="00BD5371"/>
    <w:rPr>
      <w:rFonts w:ascii="Tahoma" w:eastAsia="Times New Roman" w:hAnsi="Tahoma" w:cs="Tahoma"/>
      <w:color w:val="00000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1"/>
    <w:pPr>
      <w:suppressAutoHyphens/>
      <w:spacing w:after="0" w:line="240" w:lineRule="auto"/>
    </w:pPr>
    <w:rPr>
      <w:rFonts w:ascii="Times New Roman" w:eastAsia="Times New Roman" w:hAnsi="Times New Roman" w:cs="Times New Roman"/>
      <w:color w:val="00000A"/>
      <w:kern w:val="1"/>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371"/>
    <w:rPr>
      <w:rFonts w:ascii="Tahoma" w:hAnsi="Tahoma" w:cs="Tahoma"/>
      <w:sz w:val="16"/>
      <w:szCs w:val="16"/>
    </w:rPr>
  </w:style>
  <w:style w:type="character" w:customStyle="1" w:styleId="a4">
    <w:name w:val="Текст выноски Знак"/>
    <w:basedOn w:val="a0"/>
    <w:link w:val="a3"/>
    <w:uiPriority w:val="99"/>
    <w:semiHidden/>
    <w:rsid w:val="00BD5371"/>
    <w:rPr>
      <w:rFonts w:ascii="Tahoma" w:eastAsia="Times New Roman" w:hAnsi="Tahoma" w:cs="Tahoma"/>
      <w:color w:val="00000A"/>
      <w:kern w:val="1"/>
      <w:sz w:val="16"/>
      <w:szCs w:val="16"/>
      <w:lang w:eastAsia="zh-CN"/>
    </w:rPr>
  </w:style>
</w:styles>
</file>

<file path=word/webSettings.xml><?xml version="1.0" encoding="utf-8"?>
<w:webSettings xmlns:r="http://schemas.openxmlformats.org/officeDocument/2006/relationships" xmlns:w="http://schemas.openxmlformats.org/wordprocessingml/2006/main">
  <w:divs>
    <w:div w:id="170047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Бучнева Анжелика Анатольевна</dc:creator>
  <cp:keywords/>
  <dc:description/>
  <cp:lastModifiedBy>r22lms10071993</cp:lastModifiedBy>
  <cp:revision>5</cp:revision>
  <dcterms:created xsi:type="dcterms:W3CDTF">2024-06-13T02:43:00Z</dcterms:created>
  <dcterms:modified xsi:type="dcterms:W3CDTF">2024-06-25T03:36:00Z</dcterms:modified>
</cp:coreProperties>
</file>